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8E2" w:rsidRPr="00FC18E2" w:rsidRDefault="00FC18E2" w:rsidP="00FC18E2">
      <w:pPr>
        <w:jc w:val="center"/>
        <w:rPr>
          <w:b/>
        </w:rPr>
      </w:pPr>
      <w:r>
        <w:rPr>
          <w:b/>
        </w:rPr>
        <w:t>Secretarí</w:t>
      </w:r>
      <w:r w:rsidRPr="00FC18E2">
        <w:rPr>
          <w:b/>
        </w:rPr>
        <w:t>a de Salud Municipal llega con la Estrategia PRASS a la comuna 6</w:t>
      </w:r>
    </w:p>
    <w:p w:rsidR="00FC18E2" w:rsidRDefault="00FC18E2" w:rsidP="00FC18E2">
      <w:pPr>
        <w:jc w:val="both"/>
      </w:pPr>
      <w:r w:rsidRPr="00FC18E2">
        <w:t>En el desarrollo de l</w:t>
      </w:r>
      <w:r>
        <w:t>a Estrategia PRASS, la Secretarí</w:t>
      </w:r>
      <w:r w:rsidRPr="00FC18E2">
        <w:t>a de Salud Municipal, en un trabajo articulado con el Hospital Unive</w:t>
      </w:r>
      <w:r>
        <w:t xml:space="preserve">rsitario San José, IPS </w:t>
      </w:r>
      <w:proofErr w:type="spellStart"/>
      <w:r>
        <w:t>Horisoes</w:t>
      </w:r>
      <w:proofErr w:type="spellEnd"/>
      <w:r>
        <w:t xml:space="preserve"> y</w:t>
      </w:r>
      <w:r w:rsidRPr="00FC18E2">
        <w:t xml:space="preserve"> estudiantes de la Facultad de Enfermería</w:t>
      </w:r>
      <w:r>
        <w:t>,</w:t>
      </w:r>
      <w:r w:rsidRPr="00FC18E2">
        <w:t xml:space="preserve"> continúa visitando las diferentes comuna</w:t>
      </w:r>
      <w:r>
        <w:t>s de la ciudad.</w:t>
      </w:r>
    </w:p>
    <w:p w:rsidR="00FC18E2" w:rsidRPr="00FC18E2" w:rsidRDefault="00FC18E2" w:rsidP="00FC18E2">
      <w:pPr>
        <w:jc w:val="both"/>
      </w:pPr>
      <w:r>
        <w:t>El</w:t>
      </w:r>
      <w:r w:rsidRPr="00FC18E2">
        <w:t xml:space="preserve"> </w:t>
      </w:r>
      <w:proofErr w:type="gramStart"/>
      <w:r w:rsidRPr="00FC18E2">
        <w:t>barrio</w:t>
      </w:r>
      <w:proofErr w:type="gramEnd"/>
      <w:r w:rsidRPr="00FC18E2">
        <w:t xml:space="preserve"> Alfonso López</w:t>
      </w:r>
      <w:r>
        <w:t xml:space="preserve">, en la comuna Seis, fue el escenario para la toma de </w:t>
      </w:r>
      <w:r w:rsidRPr="00FC18E2">
        <w:t>200 pruebas antígenos direccionada a habitantes, comerciantes del sector y trabajadores de la plaza de mercado</w:t>
      </w:r>
      <w:r>
        <w:t>,</w:t>
      </w:r>
      <w:r w:rsidRPr="00FC18E2">
        <w:t xml:space="preserve"> habitantes de calle y comunidad en general</w:t>
      </w:r>
      <w:r>
        <w:t>.</w:t>
      </w:r>
      <w:r w:rsidRPr="00FC18E2">
        <w:t xml:space="preserve"> </w:t>
      </w:r>
    </w:p>
    <w:p w:rsidR="00FC18E2" w:rsidRDefault="00FC18E2" w:rsidP="00FC18E2">
      <w:pPr>
        <w:jc w:val="both"/>
      </w:pPr>
      <w:r>
        <w:t>El secretario de S</w:t>
      </w:r>
      <w:r w:rsidRPr="00FC18E2">
        <w:t>alud Municipal,</w:t>
      </w:r>
      <w:r>
        <w:t xml:space="preserve"> Oscar Ospina,</w:t>
      </w:r>
      <w:r w:rsidRPr="00FC18E2">
        <w:t xml:space="preserve"> afirmó</w:t>
      </w:r>
      <w:r w:rsidR="002130E6">
        <w:t xml:space="preserve"> que</w:t>
      </w:r>
      <w:r w:rsidRPr="00FC18E2">
        <w:t xml:space="preserve"> se continúa haciendo un llamado urgente al autocuidado y al cu</w:t>
      </w:r>
      <w:r>
        <w:t>idado colectivo en la comunidad, ya que aún se está</w:t>
      </w:r>
      <w:r w:rsidRPr="00FC18E2">
        <w:t xml:space="preserve"> afrontado el paso de la pandemia del COVID19</w:t>
      </w:r>
      <w:r>
        <w:t xml:space="preserve">, y enfatizó en los </w:t>
      </w:r>
      <w:r w:rsidRPr="00FC18E2">
        <w:t xml:space="preserve">protocolos de bioseguridad como el uso obligatorio del tapabocas, el lavado de manos y el distanciamiento físico </w:t>
      </w:r>
      <w:r>
        <w:t>como</w:t>
      </w:r>
      <w:r w:rsidRPr="00FC18E2">
        <w:t xml:space="preserve"> único método de protección</w:t>
      </w:r>
      <w:r>
        <w:t xml:space="preserve"> que se tiene frente al COVID19.</w:t>
      </w:r>
    </w:p>
    <w:p w:rsidR="00A77842" w:rsidRDefault="00FC18E2" w:rsidP="00FC18E2">
      <w:pPr>
        <w:jc w:val="both"/>
      </w:pPr>
      <w:r>
        <w:t>Por otro lado, recordó que no está</w:t>
      </w:r>
      <w:r w:rsidR="00D20F39">
        <w:t xml:space="preserve"> permitido la re</w:t>
      </w:r>
      <w:bookmarkStart w:id="0" w:name="_GoBack"/>
      <w:bookmarkEnd w:id="0"/>
      <w:r w:rsidRPr="00FC18E2">
        <w:t>apertura de discotecas por ser lugares de gran aforo, sitios generalmente cerrados que no permiten una</w:t>
      </w:r>
      <w:r w:rsidR="002130E6">
        <w:t xml:space="preserve"> ventilación apropiada y que infortunadamente son propicios</w:t>
      </w:r>
      <w:r w:rsidRPr="00FC18E2">
        <w:t xml:space="preserve"> para la propagación del covid19.</w:t>
      </w:r>
    </w:p>
    <w:p w:rsidR="00FC18E2" w:rsidRDefault="00FC18E2" w:rsidP="00FC18E2">
      <w:pPr>
        <w:jc w:val="both"/>
      </w:pPr>
    </w:p>
    <w:p w:rsidR="00FC18E2" w:rsidRPr="00FC18E2" w:rsidRDefault="00FC18E2" w:rsidP="00FC18E2">
      <w:pPr>
        <w:jc w:val="center"/>
        <w:rPr>
          <w:b/>
        </w:rPr>
      </w:pPr>
      <w:r w:rsidRPr="00FC18E2">
        <w:rPr>
          <w:b/>
        </w:rPr>
        <w:t>Administración Municipal entregó a equipos audiovisuales a la seccional</w:t>
      </w:r>
      <w:r>
        <w:rPr>
          <w:b/>
        </w:rPr>
        <w:t xml:space="preserve"> </w:t>
      </w:r>
      <w:r w:rsidRPr="00FC18E2">
        <w:rPr>
          <w:b/>
        </w:rPr>
        <w:t>de Tránsito de la Policía Metropolitana</w:t>
      </w:r>
    </w:p>
    <w:p w:rsidR="00FC18E2" w:rsidRDefault="00FC18E2" w:rsidP="00FC18E2">
      <w:pPr>
        <w:jc w:val="both"/>
      </w:pPr>
      <w:r>
        <w:t>En virtud del convenio N 90-9-3000-2-20 suscrito entre la Policía Nacional y el municipio de Popayán</w:t>
      </w:r>
      <w:r w:rsidR="002130E6">
        <w:t>,</w:t>
      </w:r>
      <w:r>
        <w:t xml:space="preserve"> se llevó a cabo la entrega de equipos audiovisuales a la seccional de Tránsito de la Policía Metropolitana</w:t>
      </w:r>
      <w:r w:rsidR="002130E6">
        <w:t>,</w:t>
      </w:r>
      <w:r>
        <w:t xml:space="preserve"> por parte de la Administración Municipal a través de la Secretaría de Tránsito.</w:t>
      </w:r>
    </w:p>
    <w:p w:rsidR="00FC18E2" w:rsidRDefault="00FC18E2" w:rsidP="00FC18E2">
      <w:pPr>
        <w:jc w:val="both"/>
      </w:pPr>
      <w:r>
        <w:t>Con la entrega de estos elementos se busca ofrecer herramientas que le faciliten a las autoridades su labor en el objetivo de garantizar la movilidad en la ciudad, así lo dio a conocer el secretario de Tránsito de Popayán</w:t>
      </w:r>
      <w:r w:rsidR="002130E6">
        <w:t>,</w:t>
      </w:r>
      <w:r>
        <w:t xml:space="preserve"> Omar Cantillo Perdomo.</w:t>
      </w:r>
    </w:p>
    <w:p w:rsidR="00FC18E2" w:rsidRDefault="00FC18E2" w:rsidP="00FC18E2">
      <w:pPr>
        <w:jc w:val="both"/>
      </w:pPr>
      <w:r>
        <w:t>“Entregamos a satisfacción los 12 elementos audiovisuales entre los que se encuentran televisores, equipo de sonido</w:t>
      </w:r>
      <w:r w:rsidR="002130E6">
        <w:t>,</w:t>
      </w:r>
      <w:r>
        <w:t xml:space="preserve"> pantallas de proyección portátil y eléctrica, video </w:t>
      </w:r>
      <w:proofErr w:type="spellStart"/>
      <w:r>
        <w:t>beam</w:t>
      </w:r>
      <w:proofErr w:type="spellEnd"/>
      <w:r w:rsidR="002130E6">
        <w:t>,</w:t>
      </w:r>
      <w:r>
        <w:t xml:space="preserve"> entre otros</w:t>
      </w:r>
      <w:r w:rsidR="002130E6">
        <w:t>,</w:t>
      </w:r>
      <w:r>
        <w:t xml:space="preserve"> con el fin de cumplir a cabalidad los compromisos suscritos con la Policía Nacional</w:t>
      </w:r>
      <w:r w:rsidR="002130E6">
        <w:t>,</w:t>
      </w:r>
      <w:r>
        <w:t xml:space="preserve"> y hacer que puedan cumplir su labor de control con mayor eficacia haciendo que la ciudadanía pueda disfrutar de una movilidad que les garantice un recorrido seguro en trayecto origen - destino y minimizar el tiempo de viaje”, manifestó el funcionario.</w:t>
      </w:r>
    </w:p>
    <w:p w:rsidR="00FC18E2" w:rsidRPr="00FC18E2" w:rsidRDefault="00FC18E2" w:rsidP="00FC18E2">
      <w:pPr>
        <w:jc w:val="both"/>
      </w:pPr>
    </w:p>
    <w:p w:rsidR="00A0750A" w:rsidRPr="000D12D0" w:rsidRDefault="00A0750A" w:rsidP="00A0750A">
      <w:pPr>
        <w:jc w:val="center"/>
        <w:rPr>
          <w:b/>
        </w:rPr>
      </w:pPr>
      <w:r>
        <w:rPr>
          <w:b/>
        </w:rPr>
        <w:t xml:space="preserve">Buen balance en el </w:t>
      </w:r>
      <w:r w:rsidRPr="000D12D0">
        <w:rPr>
          <w:b/>
        </w:rPr>
        <w:t>Foro virtual “Popayán aporta ideas a la Reforma del Sistema de Salud”</w:t>
      </w:r>
    </w:p>
    <w:p w:rsidR="00A0750A" w:rsidRDefault="00A0750A" w:rsidP="00A0750A">
      <w:pPr>
        <w:jc w:val="both"/>
      </w:pPr>
      <w:r>
        <w:lastRenderedPageBreak/>
        <w:t xml:space="preserve">Con éxito se llevó a cabo el foro virtual, en un trabajo articulado con la Universidad del Cauca y la Secretaría de Salud Municipal, sobre el Proyecto de ley “Por medio de la cual se dictan disposiciones orientadas a garantizar el derecho fundamental a la salud dentro del sistema general de seguridad social, de conformidad con la ley 1751 de 2015, y la sostenibilidad del Sistema de Salud”. </w:t>
      </w:r>
    </w:p>
    <w:p w:rsidR="00A0750A" w:rsidRDefault="00A0750A" w:rsidP="00A0750A">
      <w:pPr>
        <w:jc w:val="both"/>
      </w:pPr>
      <w:r>
        <w:t>El evento virtual realizado a través de las plataformas institucionales, fue acompañado por las entidades prestadoras de servicios de salud, el Decano de la Facultad de salud de la Universidad del Cauca, la Organización sindical ANTOC, representantes de los diferentes sindicatos de la salud, representantes de ligas de usuarios y en general, los actores del sector de la salud en el Municipio de Popayán y el departamento del Cauca.</w:t>
      </w:r>
    </w:p>
    <w:p w:rsidR="00A0750A" w:rsidRDefault="00A0750A" w:rsidP="00A0750A">
      <w:pPr>
        <w:jc w:val="both"/>
      </w:pPr>
      <w:r>
        <w:t>La temática abordada estuvo dirigida a las exigencias por el respeto y la reivindicación, y a unas condiciones dignas y justas en el desarrollo de la actividad laboral, de manera especial, con los funcionarios que están atendiendo a los infectados por el coronavirus.</w:t>
      </w:r>
    </w:p>
    <w:p w:rsidR="00A0750A" w:rsidRDefault="00A0750A" w:rsidP="00A0750A">
      <w:pPr>
        <w:jc w:val="both"/>
      </w:pPr>
      <w:r>
        <w:t xml:space="preserve">En el foro virtual también se analizaron temas referidos con los cambios normativos que ha sufrido el Sistema General de Seguridad Social en Salud desarrollados entre 2007 y 2015, y que estuvieron dirigidos a mejorar la prestación de los servicios, así como a fortalecer el sistema con un modelo de atención primaria, a generar mayor transparencia en el manejo de los recursos del sector, la disminución sostenida de la mortalidad infantil y de la niñez, y el reconocimiento del país por contar con el plan de inmunización gratuito más completo de las Américas. </w:t>
      </w:r>
    </w:p>
    <w:p w:rsidR="00A0750A" w:rsidRDefault="00A0750A" w:rsidP="00A0750A">
      <w:pPr>
        <w:jc w:val="both"/>
      </w:pPr>
    </w:p>
    <w:p w:rsidR="00A0750A" w:rsidRPr="000D12D0" w:rsidRDefault="00A0750A" w:rsidP="00A0750A">
      <w:pPr>
        <w:jc w:val="center"/>
        <w:rPr>
          <w:b/>
        </w:rPr>
      </w:pPr>
      <w:r w:rsidRPr="000D12D0">
        <w:rPr>
          <w:b/>
        </w:rPr>
        <w:t>Está a tiempo de aprovechar los descuentos en impuestos</w:t>
      </w:r>
    </w:p>
    <w:p w:rsidR="00A0750A" w:rsidRDefault="00A0750A" w:rsidP="00A0750A">
      <w:pPr>
        <w:jc w:val="both"/>
      </w:pPr>
      <w:r>
        <w:t>La Administración Municipal Creo en Popayán, a través de su Secretaría de Hacienda, le recuerda a todos los contribuyentes que tienen deudas con el municipio, anteriores al 2019, que hasta este 31 de octubre está vigente el descuento establecido en el Decreto nacional 678 del 20 de mayo del 2020; es decir, 20% en el capital de la deuda y 100% en intereses y sanciones por mora.</w:t>
      </w:r>
    </w:p>
    <w:p w:rsidR="00A0750A" w:rsidRDefault="00A0750A" w:rsidP="00A0750A">
      <w:pPr>
        <w:jc w:val="both"/>
      </w:pPr>
      <w:r>
        <w:t>Este beneficio aplica para el pago del Impuesto Predial Unificado, Industria y Comercio, Alumbrado Público y demás deudas que se tengan con el municipio.</w:t>
      </w:r>
    </w:p>
    <w:p w:rsidR="00A0750A" w:rsidRDefault="00A0750A" w:rsidP="00A0750A">
      <w:pPr>
        <w:jc w:val="both"/>
      </w:pPr>
      <w:r>
        <w:t xml:space="preserve">Para mayor información: </w:t>
      </w:r>
    </w:p>
    <w:p w:rsidR="00A0750A" w:rsidRDefault="00A0750A" w:rsidP="00A0750A">
      <w:pPr>
        <w:jc w:val="both"/>
      </w:pPr>
      <w:r>
        <w:t>Predial: 3108471639</w:t>
      </w:r>
    </w:p>
    <w:p w:rsidR="00A0750A" w:rsidRDefault="00A0750A" w:rsidP="00A0750A">
      <w:pPr>
        <w:jc w:val="both"/>
      </w:pPr>
      <w:r>
        <w:t>Industria y comercio: 3104131069</w:t>
      </w:r>
    </w:p>
    <w:p w:rsidR="00A0750A" w:rsidRDefault="00A0750A" w:rsidP="00A0750A">
      <w:pPr>
        <w:jc w:val="both"/>
      </w:pPr>
      <w:r>
        <w:t>Cobro coactivo: 310 8986883</w:t>
      </w:r>
    </w:p>
    <w:p w:rsidR="006647C2" w:rsidRDefault="00A0750A" w:rsidP="006647C2">
      <w:pPr>
        <w:jc w:val="both"/>
      </w:pPr>
      <w:r>
        <w:t>Alumbrado público: 3215083673</w:t>
      </w:r>
    </w:p>
    <w:p w:rsidR="00FC18E2" w:rsidRDefault="00FC18E2" w:rsidP="006647C2">
      <w:pPr>
        <w:jc w:val="both"/>
      </w:pPr>
    </w:p>
    <w:p w:rsidR="00A54BC3" w:rsidRPr="00A54BC3" w:rsidRDefault="00A54BC3" w:rsidP="00A54BC3">
      <w:pPr>
        <w:jc w:val="center"/>
        <w:rPr>
          <w:b/>
        </w:rPr>
      </w:pPr>
      <w:r w:rsidRPr="00A54BC3">
        <w:rPr>
          <w:b/>
        </w:rPr>
        <w:lastRenderedPageBreak/>
        <w:t>Popayán se prepara para participar del noveno Simulacro Nacional de Respuesta a Emergencia</w:t>
      </w:r>
    </w:p>
    <w:p w:rsidR="00A54BC3" w:rsidRDefault="00A54BC3" w:rsidP="00A54BC3">
      <w:pPr>
        <w:jc w:val="both"/>
      </w:pPr>
      <w:r>
        <w:t>La Alcaldía de Popayán, por intermedio de su Oficina Asesora de Gestión del Riesgo de Desastres</w:t>
      </w:r>
      <w:r w:rsidR="002130E6">
        <w:t>,</w:t>
      </w:r>
      <w:r>
        <w:t xml:space="preserve"> invita a empresas, organizaciones sociales o </w:t>
      </w:r>
      <w:proofErr w:type="gramStart"/>
      <w:r>
        <w:t>comunitarios</w:t>
      </w:r>
      <w:proofErr w:type="gramEnd"/>
      <w:r>
        <w:t xml:space="preserve"> y ciudadanos a que se inscriban al noveno Simulacro Nacional de Respuesta a Emergencia, y así participar el próximo jueves 22 de octubre a las 09:00am del ejercicio más importante del año.</w:t>
      </w:r>
    </w:p>
    <w:p w:rsidR="00A54BC3" w:rsidRDefault="00A54BC3" w:rsidP="00A54BC3">
      <w:pPr>
        <w:jc w:val="both"/>
      </w:pPr>
      <w:r>
        <w:t xml:space="preserve">A través de este formulario </w:t>
      </w:r>
      <w:hyperlink r:id="rId7" w:history="1">
        <w:r w:rsidRPr="00F46A43">
          <w:rPr>
            <w:rStyle w:val="Hipervnculo"/>
          </w:rPr>
          <w:t>https://n9.cl/5wcjd</w:t>
        </w:r>
      </w:hyperlink>
      <w:r>
        <w:t xml:space="preserve"> los interesados podrán participar del ejercicio más importante del año, solo consiste en diligenciar y enviar los requisitos.</w:t>
      </w:r>
    </w:p>
    <w:p w:rsidR="00A54BC3" w:rsidRDefault="00A54BC3" w:rsidP="00A54BC3">
      <w:pPr>
        <w:jc w:val="both"/>
      </w:pPr>
      <w:r>
        <w:t>El simulacro en este año estará enfocado en 2 aspectos fundamentales: el autocuidado y la autoprotección.</w:t>
      </w:r>
    </w:p>
    <w:p w:rsidR="00A54BC3" w:rsidRDefault="00A54BC3" w:rsidP="00A54BC3">
      <w:pPr>
        <w:jc w:val="both"/>
      </w:pPr>
    </w:p>
    <w:sectPr w:rsidR="00A54BC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90" w:rsidRDefault="00536A90" w:rsidP="009601CB">
      <w:pPr>
        <w:spacing w:after="0" w:line="240" w:lineRule="auto"/>
      </w:pPr>
      <w:r>
        <w:separator/>
      </w:r>
    </w:p>
  </w:endnote>
  <w:endnote w:type="continuationSeparator" w:id="0">
    <w:p w:rsidR="00536A90" w:rsidRDefault="00536A90"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90" w:rsidRDefault="00536A90" w:rsidP="009601CB">
      <w:pPr>
        <w:spacing w:after="0" w:line="240" w:lineRule="auto"/>
      </w:pPr>
      <w:r>
        <w:separator/>
      </w:r>
    </w:p>
  </w:footnote>
  <w:footnote w:type="continuationSeparator" w:id="0">
    <w:p w:rsidR="00536A90" w:rsidRDefault="00536A90"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75EBB"/>
    <w:rsid w:val="001C452C"/>
    <w:rsid w:val="001E344A"/>
    <w:rsid w:val="002130E6"/>
    <w:rsid w:val="00314232"/>
    <w:rsid w:val="00334C0B"/>
    <w:rsid w:val="00496815"/>
    <w:rsid w:val="004A3DFC"/>
    <w:rsid w:val="004C189C"/>
    <w:rsid w:val="004F037D"/>
    <w:rsid w:val="00536A90"/>
    <w:rsid w:val="0058444F"/>
    <w:rsid w:val="006647C2"/>
    <w:rsid w:val="00691A14"/>
    <w:rsid w:val="007410C1"/>
    <w:rsid w:val="007A75AE"/>
    <w:rsid w:val="00872E17"/>
    <w:rsid w:val="008B4CC5"/>
    <w:rsid w:val="008C6D46"/>
    <w:rsid w:val="009601CB"/>
    <w:rsid w:val="009A2B8A"/>
    <w:rsid w:val="009E7722"/>
    <w:rsid w:val="009F532A"/>
    <w:rsid w:val="00A0750A"/>
    <w:rsid w:val="00A15A7B"/>
    <w:rsid w:val="00A37E1E"/>
    <w:rsid w:val="00A54BC3"/>
    <w:rsid w:val="00A77842"/>
    <w:rsid w:val="00A87F3D"/>
    <w:rsid w:val="00AC1835"/>
    <w:rsid w:val="00AC6F3B"/>
    <w:rsid w:val="00B506A7"/>
    <w:rsid w:val="00BE6996"/>
    <w:rsid w:val="00C10781"/>
    <w:rsid w:val="00C16932"/>
    <w:rsid w:val="00C73C18"/>
    <w:rsid w:val="00CE7F88"/>
    <w:rsid w:val="00D20F39"/>
    <w:rsid w:val="00D62702"/>
    <w:rsid w:val="00D9538D"/>
    <w:rsid w:val="00DA0F94"/>
    <w:rsid w:val="00DE0687"/>
    <w:rsid w:val="00DF1931"/>
    <w:rsid w:val="00E059D6"/>
    <w:rsid w:val="00E338A9"/>
    <w:rsid w:val="00F17E2E"/>
    <w:rsid w:val="00F52515"/>
    <w:rsid w:val="00FC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A54B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9.cl/5wcj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865</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cp:lastPrinted>2020-09-26T17:12:00Z</cp:lastPrinted>
  <dcterms:created xsi:type="dcterms:W3CDTF">2020-10-15T23:02:00Z</dcterms:created>
  <dcterms:modified xsi:type="dcterms:W3CDTF">2020-10-17T00:01:00Z</dcterms:modified>
</cp:coreProperties>
</file>